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 </w:t>
      </w:r>
      <w:r>
        <w:rPr>
          <w:rFonts w:ascii="Times New Roman" w:eastAsia="Times New Roman" w:hAnsi="Times New Roman" w:cs="Times New Roman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sz w:val="22"/>
          <w:szCs w:val="22"/>
        </w:rPr>
        <w:t>ело № 5-</w:t>
      </w:r>
      <w:r>
        <w:rPr>
          <w:rFonts w:ascii="Times New Roman" w:eastAsia="Times New Roman" w:hAnsi="Times New Roman" w:cs="Times New Roman"/>
          <w:sz w:val="22"/>
          <w:szCs w:val="22"/>
        </w:rPr>
        <w:t>58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200</w:t>
      </w:r>
      <w:r>
        <w:rPr>
          <w:rFonts w:ascii="Times New Roman" w:eastAsia="Times New Roman" w:hAnsi="Times New Roman" w:cs="Times New Roman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z w:val="22"/>
          <w:szCs w:val="22"/>
        </w:rPr>
        <w:t>/20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/>
        <w:jc w:val="both"/>
        <w:rPr>
          <w:sz w:val="22"/>
          <w:szCs w:val="22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03 февраля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г. Нефтеюганск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Нефтеюганского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>Агзямова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sz w:val="26"/>
          <w:szCs w:val="26"/>
        </w:rPr>
        <w:t>628309, ХМАО-Югра, г. Нефтеюганск, 1 мкр-н, дом 30</w:t>
      </w:r>
      <w:r>
        <w:rPr>
          <w:rFonts w:ascii="Times New Roman" w:eastAsia="Times New Roman" w:hAnsi="Times New Roman" w:cs="Times New Roman"/>
          <w:sz w:val="26"/>
          <w:szCs w:val="26"/>
        </w:rPr>
        <w:t>), рассмотрев в открытом судебном заседании дело об административном правонарушении в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Лапшина Анатолия Викторовича, </w:t>
      </w:r>
      <w:r>
        <w:rPr>
          <w:rStyle w:val="cat-ExternalSystemDefinedgrp-40rplc-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32rplc-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являющ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гося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генеральным </w:t>
      </w:r>
      <w:r>
        <w:rPr>
          <w:rFonts w:ascii="Times New Roman" w:eastAsia="Times New Roman" w:hAnsi="Times New Roman" w:cs="Times New Roman"/>
          <w:sz w:val="26"/>
          <w:szCs w:val="26"/>
        </w:rPr>
        <w:t>директором ООО «</w:t>
      </w:r>
      <w:r>
        <w:rPr>
          <w:rFonts w:ascii="Times New Roman" w:eastAsia="Times New Roman" w:hAnsi="Times New Roman" w:cs="Times New Roman"/>
          <w:sz w:val="26"/>
          <w:szCs w:val="26"/>
        </w:rPr>
        <w:t>Вектор</w:t>
      </w:r>
      <w:r>
        <w:rPr>
          <w:rFonts w:ascii="Times New Roman" w:eastAsia="Times New Roman" w:hAnsi="Times New Roman" w:cs="Times New Roman"/>
          <w:sz w:val="26"/>
          <w:szCs w:val="26"/>
        </w:rPr>
        <w:t>», зарегистрированного и проживающего по адресу: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42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33rplc-12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Style w:val="cat-ExternalSystemDefinedgrp-41rplc-1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ExternalSystemDefinedgrp-39rplc-1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ст. 15.5 Кодекса Российской Федерации об административных правонарушениях,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 С Т А Н О В И 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Лапшин А.В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являясь </w:t>
      </w:r>
      <w:r>
        <w:rPr>
          <w:rFonts w:ascii="Times New Roman" w:eastAsia="Times New Roman" w:hAnsi="Times New Roman" w:cs="Times New Roman"/>
          <w:sz w:val="26"/>
          <w:szCs w:val="26"/>
        </w:rPr>
        <w:t>генеральным директором ООО «Вектор</w:t>
      </w:r>
      <w:r>
        <w:rPr>
          <w:rFonts w:ascii="Times New Roman" w:eastAsia="Times New Roman" w:hAnsi="Times New Roman" w:cs="Times New Roman"/>
          <w:sz w:val="26"/>
          <w:szCs w:val="26"/>
        </w:rPr>
        <w:t>», зарегистрированного по адресу: ХМАО-Югра, г. Нефтеюганск,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11 А мкр.,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ул. Союзная, д. 30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нарушение п. 7 ст. 431 НК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РФ, до </w:t>
      </w:r>
      <w:r>
        <w:rPr>
          <w:rFonts w:ascii="Times New Roman" w:eastAsia="Times New Roman" w:hAnsi="Times New Roman" w:cs="Times New Roman"/>
          <w:sz w:val="26"/>
          <w:szCs w:val="26"/>
        </w:rPr>
        <w:t>26.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представил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установленный срок в налоговый орган по месту учета – межрайонную ИФНС России №7 по Ханты-Мансийскому автономному округу – Югре, налоговый расчет по страховым взносам за 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месяц</w:t>
      </w:r>
      <w:r>
        <w:rPr>
          <w:rFonts w:ascii="Times New Roman" w:eastAsia="Times New Roman" w:hAnsi="Times New Roman" w:cs="Times New Roman"/>
          <w:sz w:val="26"/>
          <w:szCs w:val="26"/>
        </w:rPr>
        <w:t>ев</w:t>
      </w:r>
      <w:r>
        <w:rPr>
          <w:rFonts w:ascii="Times New Roman" w:eastAsia="Times New Roman" w:hAnsi="Times New Roman" w:cs="Times New Roman"/>
          <w:sz w:val="26"/>
          <w:szCs w:val="26"/>
        </w:rPr>
        <w:t>, квартальный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Срок представления налогового расчета по страховым взносам за </w:t>
      </w:r>
      <w:r>
        <w:rPr>
          <w:rFonts w:ascii="Times New Roman" w:eastAsia="Times New Roman" w:hAnsi="Times New Roman" w:cs="Times New Roman"/>
          <w:sz w:val="26"/>
          <w:szCs w:val="26"/>
        </w:rPr>
        <w:t>6 месяцев</w:t>
      </w:r>
      <w:r>
        <w:rPr>
          <w:rFonts w:ascii="Times New Roman" w:eastAsia="Times New Roman" w:hAnsi="Times New Roman" w:cs="Times New Roman"/>
          <w:sz w:val="26"/>
          <w:szCs w:val="26"/>
        </w:rPr>
        <w:t>, квартальный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– не позднее 24:00 часов </w:t>
      </w:r>
      <w:r>
        <w:rPr>
          <w:rFonts w:ascii="Times New Roman" w:eastAsia="Times New Roman" w:hAnsi="Times New Roman" w:cs="Times New Roman"/>
          <w:sz w:val="26"/>
          <w:szCs w:val="26"/>
        </w:rPr>
        <w:t>25.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фактически налоговый расчет по страховым взносам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 </w:t>
      </w:r>
      <w:r>
        <w:rPr>
          <w:rFonts w:ascii="Times New Roman" w:eastAsia="Times New Roman" w:hAnsi="Times New Roman" w:cs="Times New Roman"/>
          <w:sz w:val="26"/>
          <w:szCs w:val="26"/>
        </w:rPr>
        <w:t>6 месяцев</w:t>
      </w:r>
      <w:r>
        <w:rPr>
          <w:rFonts w:ascii="Times New Roman" w:eastAsia="Times New Roman" w:hAnsi="Times New Roman" w:cs="Times New Roman"/>
          <w:sz w:val="26"/>
          <w:szCs w:val="26"/>
        </w:rPr>
        <w:t>, квартальный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представлен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sz w:val="26"/>
          <w:szCs w:val="26"/>
        </w:rPr>
        <w:t>.08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6"/>
          <w:szCs w:val="26"/>
        </w:rPr>
        <w:t>Лапшин А.В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извещенный надлежащим образом о времени и месте рассмотрения административного материала, не явился, о причинах неявки суд не уведомил, ходатайств об отложении дела от него не поступало. 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 таких обстоятельствах, в соответствии с требованиями ч. 2 ст. 25.1 КоАП РФ, а также исходя из положений п.6 постановления Пленума ВС РФ от 24.03.2005 года №5 «О некоторых вопросах, возникающих у судов при применении КоАП РФ» и п. 14 постановления Пленума ВС РФ от 27.12.2007 года №52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Лапшин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А.В</w:t>
      </w:r>
      <w:r>
        <w:rPr>
          <w:rFonts w:ascii="Times New Roman" w:eastAsia="Times New Roman" w:hAnsi="Times New Roman" w:cs="Times New Roman"/>
          <w:sz w:val="26"/>
          <w:szCs w:val="26"/>
        </w:rPr>
        <w:t>. в его отсутствие.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судья, исследовав материалы дела, считает, что вина </w:t>
      </w:r>
      <w:r>
        <w:rPr>
          <w:rFonts w:ascii="Times New Roman" w:eastAsia="Times New Roman" w:hAnsi="Times New Roman" w:cs="Times New Roman"/>
          <w:sz w:val="26"/>
          <w:szCs w:val="26"/>
        </w:rPr>
        <w:t>Лапшина А.В</w:t>
      </w:r>
      <w:r>
        <w:rPr>
          <w:rFonts w:ascii="Times New Roman" w:eastAsia="Times New Roman" w:hAnsi="Times New Roman" w:cs="Times New Roman"/>
          <w:sz w:val="26"/>
          <w:szCs w:val="26"/>
        </w:rPr>
        <w:t>. в совершении правонарушения полностью доказана и подтверждается следующими доказательствами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протоколом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Style w:val="cat-UserDefinedgrp-43rplc-2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szCs w:val="26"/>
        </w:rPr>
        <w:t>10.12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</w:t>
      </w:r>
      <w:r>
        <w:rPr>
          <w:rFonts w:ascii="Times New Roman" w:eastAsia="Times New Roman" w:hAnsi="Times New Roman" w:cs="Times New Roman"/>
          <w:sz w:val="26"/>
          <w:szCs w:val="26"/>
        </w:rPr>
        <w:t>которому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Лапшин А.В</w:t>
      </w:r>
      <w:r>
        <w:rPr>
          <w:rFonts w:ascii="Times New Roman" w:eastAsia="Times New Roman" w:hAnsi="Times New Roman" w:cs="Times New Roman"/>
          <w:sz w:val="26"/>
          <w:szCs w:val="26"/>
        </w:rPr>
        <w:t>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представил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установленный срок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налоговый орган по месту учета – межрайонную ИФНС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России №7 по Ханты-Мансийскому автономному округу – Югре, налоговый расчет по страховым взносам за </w:t>
      </w:r>
      <w:r>
        <w:rPr>
          <w:rFonts w:ascii="Times New Roman" w:eastAsia="Times New Roman" w:hAnsi="Times New Roman" w:cs="Times New Roman"/>
          <w:sz w:val="26"/>
          <w:szCs w:val="26"/>
        </w:rPr>
        <w:t>6 месяцев</w:t>
      </w:r>
      <w:r>
        <w:rPr>
          <w:rFonts w:ascii="Times New Roman" w:eastAsia="Times New Roman" w:hAnsi="Times New Roman" w:cs="Times New Roman"/>
          <w:sz w:val="26"/>
          <w:szCs w:val="26"/>
        </w:rPr>
        <w:t>, квартальный 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- списком внутренних почтовых отправлений о направлении копии протокола об административном правонарушении;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уведомлением о времени и месте составления протокола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szCs w:val="26"/>
        </w:rPr>
        <w:t>12.11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списком внутренних почтовых отправлений о направлении уведомления о времени и месте составления протокола; отчетом об отслеживании отправления с почтовым идентификатором;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квитанцией о приеме налоговой декларации (расчета), бухгалтерской (финансовой) отчетности в электронной форме от 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sz w:val="26"/>
          <w:szCs w:val="26"/>
        </w:rPr>
        <w:t>.08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выпиской из Единого государст</w:t>
      </w:r>
      <w:r>
        <w:rPr>
          <w:rFonts w:ascii="Times New Roman" w:eastAsia="Times New Roman" w:hAnsi="Times New Roman" w:cs="Times New Roman"/>
          <w:sz w:val="26"/>
          <w:szCs w:val="26"/>
        </w:rPr>
        <w:t>венного реестра юридических лиц.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Все доказательства соответствуют требованиям, предусмотренным ст. 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подп. 4 п. 3 ст. 24 Налогового кодекса РФ, налоговые агенты обязаны предоставить в налоговый орган по месту своего учета документы, необходимые для осуществления контроля, за правильностью исчисления, удержания и перечисления налогов.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Согласно подп. 3 п. 3.4 ст.23 Налогового кодекса РФ,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плательщики страховых взносов обязаны представлять в установленном порядке в налоговый орган по месту учета расчеты по страховым взносам.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п. 1 ст. 419 Налогового кодекса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плательщиками страховых взносов признаются следующие лица, являющиеся страхователями в соответствии с федеральными законами о конкретных видах обязательного социального страхования: лица, производящие выплаты и иные вознаграждения физическим лицам: организации; индивидуальные предприниматели; физические лица, не являющиеся индивидуальными предпринимателями; индивидуальные предприниматели, адвокаты, медиаторы, нотариусы, занимающиеся частной практикой, арбитражные управляющие, оценщики, патентные поверенные и иные лица, занимающиеся в установленном законодательством Российской Федерации порядке частной практикой.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п. 7 ст. 431 Налогового кодекса РФ плательщики, указанные в п.п. 1 п. 1 ст. 419 настоящего Кодекса (за исключением физических лиц, производящих выплаты, указанные в п.п. 3 п. 3 ст. 422НК РФ), представляют расчет по страховым взносам не позднее </w:t>
      </w:r>
      <w:r>
        <w:rPr>
          <w:rFonts w:ascii="Times New Roman" w:eastAsia="Times New Roman" w:hAnsi="Times New Roman" w:cs="Times New Roman"/>
          <w:sz w:val="26"/>
          <w:szCs w:val="26"/>
        </w:rPr>
        <w:t>25</w:t>
      </w:r>
      <w:r>
        <w:rPr>
          <w:rFonts w:ascii="Times New Roman" w:eastAsia="Times New Roman" w:hAnsi="Times New Roman" w:cs="Times New Roman"/>
          <w:sz w:val="26"/>
          <w:szCs w:val="26"/>
        </w:rPr>
        <w:t>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Согласно ст. 423 Налогового кодекса РФ, расчетным периодом признается календарный год; отчетными периодами признаются первый квартал, полугодие, девять месяцев календарного года.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Пунктом 7 статьи 3 Федерального закона от 06.12.2011 г. № 402-ФЗ «О бухгалтерском учете», определено, что руководитель экономического субъекта - лицо, являющееся единоличным исполнительным органом экономического субъекта, либо лицо, ответственное за ведение дел экономического субъекта, либо управляющий, которому переданы функции единоличного исполнительного органа.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Согласно ч. 1 ст. 7 Федерального закона от 06.12.2011 года № 402-ФЗ «О бухгалтерском учете», ведение бухгалтерского учета и хранение документов бухгалтерского учёта организуется руководителем экономического субъекта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должностного лица </w:t>
      </w:r>
      <w:r>
        <w:rPr>
          <w:rFonts w:ascii="Times New Roman" w:eastAsia="Times New Roman" w:hAnsi="Times New Roman" w:cs="Times New Roman"/>
          <w:sz w:val="26"/>
          <w:szCs w:val="26"/>
        </w:rPr>
        <w:t>Лапшина А.В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 квалифицирует по ст. 15.5 Кодекса Российской Федерации об административных правонарушениях, как нарушение установленных законодательством о налогах и сборах сроков представления расчета по страховым взносам в налоговый орган по месту учета.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наказания судья учитывает характер совершенного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Лапшина А.В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</w:t>
      </w:r>
      <w:r>
        <w:rPr>
          <w:rFonts w:ascii="Times New Roman" w:eastAsia="Times New Roman" w:hAnsi="Times New Roman" w:cs="Times New Roman"/>
          <w:sz w:val="26"/>
          <w:szCs w:val="26"/>
        </w:rPr>
        <w:t>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имущественное положение.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смягчающих и отягчающих административную ответственность в соответствии со ст.ст. 4.2, 4.3 Кодекса Российской Федерации об административных правонарушениях, мировой судья не находит.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Учитывая установленные обстоятельства, мировой судья считает возможным назначить правонарушителю наказание в виде предупреждения. 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С учётом изложенного, руководствуясь ст.ст. 29.9 ч.1, 29.10, 30.1 Кодекса Российской Федерации об административных правонарушениях, мировой судья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И 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генеральн</w:t>
      </w:r>
      <w:r>
        <w:rPr>
          <w:rFonts w:ascii="Times New Roman" w:eastAsia="Times New Roman" w:hAnsi="Times New Roman" w:cs="Times New Roman"/>
          <w:sz w:val="26"/>
          <w:szCs w:val="26"/>
        </w:rPr>
        <w:t>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директор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ООО «Вектор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Лапшина Анатолия Викторовича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виновным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ему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административное наказание в виде предупреждения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Нефтеюганский районный суд ХМАО-Югры в течение десяти суток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tabs>
          <w:tab w:val="left" w:pos="6390"/>
        </w:tabs>
        <w:spacing w:before="0" w:after="0"/>
        <w:ind w:left="283" w:hanging="283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>
      <w:pPr>
        <w:spacing w:before="0" w:after="0"/>
        <w:ind w:left="283" w:hanging="283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Р.В. </w:t>
      </w:r>
      <w:r>
        <w:rPr>
          <w:rFonts w:ascii="Times New Roman" w:eastAsia="Times New Roman" w:hAnsi="Times New Roman" w:cs="Times New Roman"/>
          <w:sz w:val="26"/>
          <w:szCs w:val="26"/>
        </w:rPr>
        <w:t>Агзямова</w:t>
      </w: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tbl>
      <w:tblPr>
        <w:tblW w:w="20813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97"/>
        <w:gridCol w:w="5547"/>
        <w:gridCol w:w="4820"/>
        <w:gridCol w:w="5649"/>
      </w:tblGrid>
      <w:tr>
        <w:tblPrEx>
          <w:tblW w:w="20813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9"/>
        </w:trPr>
        <w:tc>
          <w:tcPr>
            <w:tcW w:w="4786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4" w:history="1"/>
          </w:p>
        </w:tc>
        <w:tc>
          <w:tcPr>
            <w:tcW w:w="5562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ind w:left="21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ind w:left="263" w:hanging="263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</w:p>
        </w:tc>
        <w:tc>
          <w:tcPr>
            <w:tcW w:w="567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</w:p>
        </w:tc>
      </w:tr>
    </w:tbl>
    <w:p>
      <w:pPr>
        <w:spacing w:before="0" w:after="0"/>
        <w:ind w:left="567" w:hanging="283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ExternalSystemDefinedgrp-40rplc-6">
    <w:name w:val="cat-ExternalSystemDefined grp-40 rplc-6"/>
    <w:basedOn w:val="DefaultParagraphFont"/>
  </w:style>
  <w:style w:type="character" w:customStyle="1" w:styleId="cat-PassportDatagrp-32rplc-7">
    <w:name w:val="cat-PassportData grp-32 rplc-7"/>
    <w:basedOn w:val="DefaultParagraphFont"/>
  </w:style>
  <w:style w:type="character" w:customStyle="1" w:styleId="cat-UserDefinedgrp-42rplc-9">
    <w:name w:val="cat-UserDefined grp-42 rplc-9"/>
    <w:basedOn w:val="DefaultParagraphFont"/>
  </w:style>
  <w:style w:type="character" w:customStyle="1" w:styleId="cat-PassportDatagrp-33rplc-12">
    <w:name w:val="cat-PassportData grp-33 rplc-12"/>
    <w:basedOn w:val="DefaultParagraphFont"/>
  </w:style>
  <w:style w:type="character" w:customStyle="1" w:styleId="cat-ExternalSystemDefinedgrp-41rplc-13">
    <w:name w:val="cat-ExternalSystemDefined grp-41 rplc-13"/>
    <w:basedOn w:val="DefaultParagraphFont"/>
  </w:style>
  <w:style w:type="character" w:customStyle="1" w:styleId="cat-ExternalSystemDefinedgrp-39rplc-14">
    <w:name w:val="cat-ExternalSystemDefined grp-39 rplc-14"/>
    <w:basedOn w:val="DefaultParagraphFont"/>
  </w:style>
  <w:style w:type="character" w:customStyle="1" w:styleId="cat-UserDefinedgrp-43rplc-28">
    <w:name w:val="cat-UserDefined grp-43 rplc-28"/>
    <w:basedOn w:val="DefaultParagraphFont"/>
  </w:style>
  <w:style w:type="character" w:customStyle="1" w:styleId="cat-UserDefinedgrp-44rplc-43">
    <w:name w:val="cat-UserDefined grp-44 rplc-43"/>
    <w:basedOn w:val="DefaultParagraphFont"/>
  </w:style>
  <w:style w:type="character" w:customStyle="1" w:styleId="cat-UserDefinedgrp-45rplc-46">
    <w:name w:val="cat-UserDefined grp-45 rplc-4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mirsud86.ru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